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401-52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ocial Media Management Leistungen Sparkassen Münsterland Giro 2027 (+ Optionale Folgejahre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